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/>
      </w:pPr>
      <w:r>
        <w:drawing>
          <wp:inline distT="0" distB="0" distL="0" distR="0">
            <wp:extent cx="2000250" cy="438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EA7E71"/>
          <w:spacing w:val="30"/>
          <w:sz w:val="19"/>
          <w:szCs w:val="19"/>
        </w:rPr>
        <w:t xml:space="preserve">KIT DE PRENSA · FICHA</w:t>
      </w:r>
    </w:p>
    <w:p>
      <w:pPr>
        <w:keepLines/>
        <w:spacing w:after="120" w:before="0" w:line="340"/>
      </w:pPr>
      <w:r>
        <w:rPr>
          <w:rFonts w:ascii="Atkinson Hyperlegible" w:cs="Atkinson Hyperlegible" w:eastAsia="Atkinson Hyperlegible" w:hAnsi="Atkinson Hyperlegible"/>
          <w:b/>
          <w:bCs/>
          <w:i w:val="false"/>
          <w:iCs w:val="false"/>
          <w:color w:val="5D7B88"/>
          <w:sz w:val="36"/>
          <w:szCs w:val="36"/>
        </w:rPr>
        <w:t xml:space="preserve">MeetMJay en datos</w:t>
      </w:r>
    </w:p>
    <w:p>
      <w:pPr>
        <w:keepLines/>
        <w:spacing w:after="260" w:before="0" w:line="300"/>
      </w:pPr>
      <w:r>
        <w:rPr>
          <w:rFonts w:ascii="Atkinson Hyperlegible" w:cs="Atkinson Hyperlegible" w:eastAsia="Atkinson Hyperlegible" w:hAnsi="Atkinson Hyperlegible"/>
          <w:b w:val="false"/>
          <w:bCs w:val="false"/>
          <w:i/>
          <w:iCs/>
          <w:color w:val="666666"/>
          <w:sz w:val="22"/>
          <w:szCs w:val="22"/>
        </w:rPr>
        <w:t xml:space="preserve">Acompañamiento emocional y conexión familiar ante el deterioro cognitivo.</w:t>
      </w:r>
    </w:p>
    <w:tbl>
      <w:tblPr>
        <w:tblW w:type="dxa" w:w="97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single" w:color="FFFFFF" w:sz="12"/>
        </w:tblBorders>
      </w:tblPr>
      <w:tblGrid>
        <w:gridCol w:w="2426"/>
        <w:gridCol w:w="2426"/>
        <w:gridCol w:w="2426"/>
        <w:gridCol w:w="2426"/>
      </w:tblGrid>
      <w:tr>
        <w:tc>
          <w:tcPr>
            <w:tcW w:type="dxa" w:w="2426"/>
            <w:shd w:fill="F4EEE2" w:color="auto" w:val="clear"/>
            <w:tcMar>
              <w:top w:type="dxa" w:w="160"/>
              <w:left w:type="dxa" w:w="100"/>
              <w:bottom w:type="dxa" w:w="160"/>
              <w:right w:type="dxa" w:w="100"/>
            </w:tcMar>
            <w:vAlign w:val="center"/>
          </w:tcPr>
          <w:p>
            <w:pPr>
              <w:keepLines/>
              <w:spacing w:after="20" w:before="0" w:line="300"/>
              <w:jc w:val="center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EA7E71"/>
                <w:sz w:val="40"/>
                <w:szCs w:val="40"/>
              </w:rPr>
              <w:t xml:space="preserve">7</w:t>
            </w:r>
          </w:p>
          <w:p>
            <w:pPr>
              <w:keepLines/>
              <w:spacing w:after="0" w:before="0" w:line="240"/>
              <w:jc w:val="center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5D7B88"/>
                <w:sz w:val="17"/>
                <w:szCs w:val="17"/>
              </w:rPr>
              <w:t xml:space="preserve">espacios en la app</w:t>
            </w:r>
          </w:p>
        </w:tc>
        <w:tc>
          <w:tcPr>
            <w:tcW w:type="dxa" w:w="2426"/>
            <w:shd w:fill="F4EEE2" w:color="auto" w:val="clear"/>
            <w:tcMar>
              <w:top w:type="dxa" w:w="160"/>
              <w:left w:type="dxa" w:w="100"/>
              <w:bottom w:type="dxa" w:w="160"/>
              <w:right w:type="dxa" w:w="100"/>
            </w:tcMar>
            <w:vAlign w:val="center"/>
          </w:tcPr>
          <w:p>
            <w:pPr>
              <w:keepLines/>
              <w:spacing w:after="20" w:before="0" w:line="300"/>
              <w:jc w:val="center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EA7E71"/>
                <w:sz w:val="40"/>
                <w:szCs w:val="40"/>
              </w:rPr>
              <w:t xml:space="preserve">6</w:t>
            </w:r>
          </w:p>
          <w:p>
            <w:pPr>
              <w:keepLines/>
              <w:spacing w:after="0" w:before="0" w:line="240"/>
              <w:jc w:val="center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5D7B88"/>
                <w:sz w:val="17"/>
                <w:szCs w:val="17"/>
              </w:rPr>
              <w:t xml:space="preserve">idiomas</w:t>
            </w:r>
          </w:p>
        </w:tc>
        <w:tc>
          <w:tcPr>
            <w:tcW w:type="dxa" w:w="2426"/>
            <w:shd w:fill="F4EEE2" w:color="auto" w:val="clear"/>
            <w:tcMar>
              <w:top w:type="dxa" w:w="160"/>
              <w:left w:type="dxa" w:w="100"/>
              <w:bottom w:type="dxa" w:w="160"/>
              <w:right w:type="dxa" w:w="100"/>
            </w:tcMar>
            <w:vAlign w:val="center"/>
          </w:tcPr>
          <w:p>
            <w:pPr>
              <w:keepLines/>
              <w:spacing w:after="20" w:before="0" w:line="300"/>
              <w:jc w:val="center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EA7E71"/>
                <w:sz w:val="40"/>
                <w:szCs w:val="40"/>
              </w:rPr>
              <w:t xml:space="preserve">5</w:t>
            </w:r>
          </w:p>
          <w:p>
            <w:pPr>
              <w:keepLines/>
              <w:spacing w:after="0" w:before="0" w:line="240"/>
              <w:jc w:val="center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5D7B88"/>
                <w:sz w:val="17"/>
                <w:szCs w:val="17"/>
              </w:rPr>
              <w:t xml:space="preserve">voces del asistente</w:t>
            </w:r>
          </w:p>
        </w:tc>
        <w:tc>
          <w:tcPr>
            <w:tcW w:type="dxa" w:w="2426"/>
            <w:shd w:fill="F4EEE2" w:color="auto" w:val="clear"/>
            <w:tcMar>
              <w:top w:type="dxa" w:w="160"/>
              <w:left w:type="dxa" w:w="100"/>
              <w:bottom w:type="dxa" w:w="160"/>
              <w:right w:type="dxa" w:w="100"/>
            </w:tcMar>
            <w:vAlign w:val="center"/>
          </w:tcPr>
          <w:p>
            <w:pPr>
              <w:keepLines/>
              <w:spacing w:after="20" w:before="0" w:line="300"/>
              <w:jc w:val="center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EA7E71"/>
                <w:sz w:val="28"/>
                <w:szCs w:val="28"/>
              </w:rPr>
              <w:t xml:space="preserve">QR + PIN</w:t>
            </w:r>
          </w:p>
          <w:p>
            <w:pPr>
              <w:keepLines/>
              <w:spacing w:after="0" w:before="0" w:line="240"/>
              <w:jc w:val="center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5D7B88"/>
                <w:sz w:val="17"/>
                <w:szCs w:val="17"/>
              </w:rPr>
              <w:t xml:space="preserve">acceso sin contraseñas</w:t>
            </w:r>
          </w:p>
        </w:tc>
      </w:tr>
    </w:tbl>
    <w:p>
      <w:pPr>
        <w:keepLines/>
        <w:spacing w:after="200" w:before="0" w:line="300"/>
      </w:pPr>
    </w:p>
    <w:tbl>
      <w:tblPr>
        <w:tblW w:type="dxa" w:w="9706"/>
        <w:tblBorders>
          <w:top w:val="single" w:color="E6DCCB" w:sz="4"/>
          <w:left w:val="none" w:color="FFFFFF" w:sz="0"/>
          <w:bottom w:val="single" w:color="E6DCCB" w:sz="4"/>
          <w:right w:val="none" w:color="FFFFFF" w:sz="0"/>
          <w:insideH w:val="single" w:color="E6DCCB" w:sz="4"/>
          <w:insideV w:val="none" w:color="FFFFFF" w:sz="0"/>
        </w:tblBorders>
      </w:tblPr>
      <w:tblGrid>
        <w:gridCol w:w="2300"/>
        <w:gridCol w:w="7406"/>
      </w:tblGrid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Qué es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Aplicación española de acompañamiento emocional y conexión familiar para personas con deterioro cognitivo. Reúne orientación diaria, comunicación accesible, actividades personalizadas y un asistente virtual en una experiencia sencilla. Enfoque no clínico.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Origen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Nace de la historia familiar de su fundador, Iñaki Nieto: el alzhéimer de su abuela y, años después, los primeros cambios cognitivos de su madre, María José. De ella viene el nombre: MJ, MJay.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Para quién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Personas con deterioro cognitivo leve o moderado que pueden usar una tablet o un móvil solas o acompañadas; sus familias y cuidadores; profesionales; residencias, centros de día y servicios de atención domiciliaria.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Espacios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Mi día · Mi gente · Necesito algo · Me siento · Actividades · Mis canales · Asistente MJay. La familia decide cuáles se muestran para reducir opciones.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Asistente MJay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Asistente conversacional opcional que habla con calma, recuerda la identidad y los valores de la persona y le ayuda a expresarse y a pedir ayuda. Cinco voces: Ana, Alicia, Sofía, Nacho y Luis.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Accesibilidad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Acceso con código QR y PIN de cuatro cifras, sin correo ni contraseñas. Botones grandes, pocos elementos por pantalla y tipografía Atkinson Hyperlegible, diseñada para baja visión.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Idiomas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Castellano, catalán, gallego, euskera, inglés y francés.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Dispositivos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Tablet (recomendada) y smartphone. Prueba gratuita bajo solicitud en meetmjay.com.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Validación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En proceso de validación, liderado por el Dr. Mario Salas, responsable de la Unidad de Deterioro Cognitivo del Hospital Clínico San Carlos de Madrid.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Qué no es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No es un producto sanitario ni un servicio de emergencias. No diagnostica, no trata ni frena ninguna enfermedad, y no sustituye a familiares, cuidadores ni profesionales.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Precio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Gratuita para empezar a usarla durante el lanzamiento.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Equipo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Iñaki Nieto (fundador) · Dr. Mario Salas (asesor clínico) · Jonathan Estrella (ingeniería informática) · Gonzalo Pérez (desarrollo de producto) · Manuel García (gestión financiera) · Andrés Cortés (desarrollo web y sistemas).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5"/>
              <w:left w:type="dxa" w:w="0"/>
              <w:bottom w:type="dxa" w:w="75"/>
              <w:right w:type="dxa" w:w="160"/>
            </w:tcMar>
          </w:tcPr>
          <w:p>
            <w:pPr>
              <w:keepLines/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i w:val="false"/>
                <w:iCs w:val="false"/>
                <w:color w:val="5D7B88"/>
                <w:sz w:val="20"/>
                <w:szCs w:val="20"/>
              </w:rPr>
              <w:t xml:space="preserve">Contacto de prensa</w:t>
            </w:r>
          </w:p>
        </w:tc>
        <w:tc>
          <w:tcPr>
            <w:tcW w:type="dxa" w:w="7406"/>
            <w:tcMar>
              <w:top w:type="dxa" w:w="75"/>
              <w:left w:type="dxa" w:w="0"/>
              <w:bottom w:type="dxa" w:w="75"/>
              <w:right w:type="dxa" w:w="0"/>
            </w:tcMar>
          </w:tcPr>
          <w:p>
            <w:pPr>
              <w:keepLines/>
              <w:spacing w:after="0" w:before="0" w:line="262"/>
            </w:pPr>
            <w:r>
              <w:rPr>
                <w:rFonts w:ascii="Atkinson Hyperlegible" w:cs="Atkinson Hyperlegible" w:eastAsia="Atkinson Hyperlegible" w:hAnsi="Atkinson Hyperlegible"/>
                <w:b w:val="false"/>
                <w:bCs w:val="false"/>
                <w:i w:val="false"/>
                <w:iCs w:val="false"/>
                <w:color w:val="2A2A2A"/>
                <w:sz w:val="20"/>
                <w:szCs w:val="20"/>
              </w:rPr>
              <w:t xml:space="preserve">Iñaki Nieto · info@meetmjay.com · 605 98 28 30 · meetmjay.com/prensa</w:t>
            </w:r>
          </w:p>
        </w:tc>
      </w:tr>
    </w:tbl>
    <w:sectPr>
      <w:footerReference w:type="default" r:id="rId7"/>
      <w:pgSz w:w="11906" w:h="16838" w:orient="portrait"/>
      <w:pgMar w:top="85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spacing w:after="0" w:before="0" w:line="300"/>
      <w:jc w:val="center"/>
    </w:pPr>
    <w:r>
      <w:rPr>
        <w:rFonts w:ascii="Atkinson Hyperlegible" w:cs="Atkinson Hyperlegible" w:eastAsia="Atkinson Hyperlegible" w:hAnsi="Atkinson Hyperlegible"/>
        <w:b w:val="false"/>
        <w:bCs w:val="false"/>
        <w:i w:val="false"/>
        <w:iCs w:val="false"/>
        <w:color w:val="666666"/>
        <w:sz w:val="16"/>
        <w:szCs w:val="16"/>
      </w:rPr>
      <w:t xml:space="preserve">MeetMJay · meetmjay.com/prensa · info@meetmjay.com · 605 98 28 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EA7E7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d9b58be815a9e989c8412715fd6b170a23c0ce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2026-10-08T13:35:54.139Z</dcterms:created>
  <dcterms:modified xsi:type="dcterms:W3CDTF">2026-10-08T13:35:54.139Z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