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pPr>
      <w:r>
        <w:drawing>
          <wp:inline distT="0" distB="0" distL="0" distR="0">
            <wp:extent cx="2190750" cy="485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90750" cy="485775"/>
                    </a:xfrm>
                    <a:prstGeom prst="rect">
                      <a:avLst/>
                    </a:prstGeom>
                  </pic:spPr>
                </pic:pic>
              </a:graphicData>
            </a:graphic>
          </wp:inline>
        </w:drawing>
      </w:r>
    </w:p>
    <w:p>
      <w:pPr>
        <w:keepLines/>
        <w:spacing w:after="240" w:before="0" w:line="300"/>
        <w:jc w:val="left"/>
      </w:pPr>
      <w:r>
        <w:rPr>
          <w:rFonts w:ascii="Atkinson Hyperlegible" w:cs="Atkinson Hyperlegible" w:eastAsia="Atkinson Hyperlegible" w:hAnsi="Atkinson Hyperlegible"/>
          <w:b/>
          <w:bCs/>
          <w:i w:val="false"/>
          <w:iCs w:val="false"/>
          <w:color w:val="EA7E71"/>
          <w:spacing w:val="30"/>
          <w:sz w:val="19"/>
          <w:szCs w:val="19"/>
        </w:rPr>
        <w:t xml:space="preserve">NOTA DE PRENSA</w:t>
      </w:r>
      <w:r>
        <w:rPr>
          <w:rFonts w:ascii="Atkinson Hyperlegible" w:cs="Atkinson Hyperlegible" w:eastAsia="Atkinson Hyperlegible" w:hAnsi="Atkinson Hyperlegible"/>
          <w:b w:val="false"/>
          <w:bCs w:val="false"/>
          <w:i w:val="false"/>
          <w:iCs w:val="false"/>
          <w:color w:val="666666"/>
          <w:sz w:val="17"/>
          <w:szCs w:val="17"/>
        </w:rPr>
        <w:t xml:space="preserve">   ·   Para su difusión el 10 de octubre de 2026</w:t>
      </w:r>
    </w:p>
    <w:p>
      <w:pPr>
        <w:keepLines/>
        <w:spacing w:after="160" w:before="0" w:line="340"/>
        <w:jc w:val="left"/>
      </w:pPr>
      <w:r>
        <w:rPr>
          <w:rFonts w:ascii="Atkinson Hyperlegible" w:cs="Atkinson Hyperlegible" w:eastAsia="Atkinson Hyperlegible" w:hAnsi="Atkinson Hyperlegible"/>
          <w:b/>
          <w:bCs/>
          <w:i w:val="false"/>
          <w:iCs w:val="false"/>
          <w:color w:val="5D7B88"/>
          <w:sz w:val="34"/>
          <w:szCs w:val="34"/>
        </w:rPr>
        <w:t xml:space="preserve">En el Día Mundial de la Salud Mental, MeetMJay presenta la app que pone el bienestar emocional en el centro del cuidado del alzhéimer</w:t>
      </w:r>
    </w:p>
    <w:p>
      <w:pPr>
        <w:keepLines/>
        <w:spacing w:after="280" w:before="0" w:line="320"/>
        <w:jc w:val="left"/>
      </w:pPr>
      <w:r>
        <w:rPr>
          <w:rFonts w:ascii="Atkinson Hyperlegible" w:cs="Atkinson Hyperlegible" w:eastAsia="Atkinson Hyperlegible" w:hAnsi="Atkinson Hyperlegible"/>
          <w:b w:val="false"/>
          <w:bCs w:val="false"/>
          <w:i/>
          <w:iCs/>
          <w:color w:val="666666"/>
          <w:sz w:val="22"/>
          <w:szCs w:val="22"/>
        </w:rPr>
        <w:t xml:space="preserve">La aplicación española acompaña a las personas con deterioro cognitivo y a sus familias en el día a día. Actualmente se encuentra en proceso de validación, liderado por el Dr. Mario Salas, responsable de la Unidad de Deterioro Cognitivo del Hospital Clínico San Carlos.</w:t>
      </w:r>
    </w:p>
    <w:p>
      <w:pPr>
        <w:keepLines/>
        <w:spacing w:after="200" w:before="0" w:line="300"/>
        <w:jc w:val="left"/>
      </w:pPr>
      <w:r>
        <w:rPr>
          <w:rFonts w:ascii="Atkinson Hyperlegible" w:cs="Atkinson Hyperlegible" w:eastAsia="Atkinson Hyperlegible" w:hAnsi="Atkinson Hyperlegible"/>
          <w:b/>
          <w:bCs/>
          <w:i w:val="false"/>
          <w:iCs w:val="false"/>
          <w:color w:val="2A2A2A"/>
          <w:sz w:val="21"/>
          <w:szCs w:val="21"/>
        </w:rPr>
        <w:t xml:space="preserve">Madrid, 10 de octubre de 2026. </w:t>
      </w:r>
      <w:r>
        <w:rPr>
          <w:rFonts w:ascii="Atkinson Hyperlegible" w:cs="Atkinson Hyperlegible" w:eastAsia="Atkinson Hyperlegible" w:hAnsi="Atkinson Hyperlegible"/>
          <w:b w:val="false"/>
          <w:bCs w:val="false"/>
          <w:i w:val="false"/>
          <w:iCs w:val="false"/>
          <w:color w:val="2A2A2A"/>
          <w:sz w:val="21"/>
          <w:szCs w:val="21"/>
        </w:rPr>
        <w:t xml:space="preserve">Coincidiendo con el Día Mundial de la Salud Mental, y con el Mes Mundial del Alzheimer aún reciente, se presenta MeetMJay, una aplicación que quiere cambiar la forma en que viven el día a día las personas con alzhéimer y otras formas de deterioro cognitivo, y también sus familias. Su punto de partida es sencillo: cuando la memoria y el lenguaje empiezan a fallar, sentirse acompañado, orientado y conectado con los suyos es una parte esencial del cuidado.</w:t>
      </w:r>
    </w:p>
    <w:p>
      <w:pPr>
        <w:keepLines/>
        <w:spacing w:after="200" w:before="0" w:line="300"/>
        <w:jc w:val="left"/>
      </w:pPr>
      <w:r>
        <w:rPr>
          <w:rFonts w:ascii="Atkinson Hyperlegible" w:cs="Atkinson Hyperlegible" w:eastAsia="Atkinson Hyperlegible" w:hAnsi="Atkinson Hyperlegible"/>
          <w:b w:val="false"/>
          <w:bCs w:val="false"/>
          <w:i w:val="false"/>
          <w:iCs w:val="false"/>
          <w:color w:val="2A2A2A"/>
          <w:sz w:val="21"/>
          <w:szCs w:val="21"/>
        </w:rPr>
        <w:t xml:space="preserve">Más de 800.000 personas en España conviven con deterioro cognitivo o demencia, según la Sociedad Española de Neurología, y la mayoría vive en su propio domicilio. Detrás de cada una hay una familia que acompaña cada día, muchas veces con un desgaste emocional que apenas se ve. MeetMJay cuida ese vínculo por los dos lados: da a la persona herramientas para orientarse, expresarse y sentirse segura, y ofrece a sus familiares la tranquilidad de saber cómo está.</w:t>
      </w:r>
    </w:p>
    <w:p>
      <w:pPr>
        <w:keepLines/>
        <w:spacing w:after="200" w:before="0" w:line="300"/>
        <w:jc w:val="left"/>
      </w:pPr>
      <w:r>
        <w:rPr>
          <w:rFonts w:ascii="Atkinson Hyperlegible" w:cs="Atkinson Hyperlegible" w:eastAsia="Atkinson Hyperlegible" w:hAnsi="Atkinson Hyperlegible"/>
          <w:b w:val="false"/>
          <w:bCs w:val="false"/>
          <w:i w:val="false"/>
          <w:iCs w:val="false"/>
          <w:color w:val="2A2A2A"/>
          <w:sz w:val="21"/>
          <w:szCs w:val="21"/>
        </w:rPr>
        <w:t xml:space="preserve">MeetMJay nace de una historia familiar. Su fundador, Iñaki Nieto, vio cómo el alzhéimer de su abuela no solo le borraba recuerdos: lo que más le dolió fue la desconexión, que cada vez fuera más difícil comunicarse con ella. Años después, cuando su madre, María José, empezó a mostrar los primeros cambios cognitivos, decidió no volver a quedarse como espectador. De ella toma la aplicación su nombre: MJ, MJay.</w:t>
      </w:r>
    </w:p>
    <w:p>
      <w:pPr>
        <w:keepLines/>
        <w:spacing w:after="240" w:before="0" w:line="300"/>
        <w:jc w:val="left"/>
      </w:pPr>
      <w:r>
        <w:rPr>
          <w:rFonts w:ascii="Atkinson Hyperlegible" w:cs="Atkinson Hyperlegible" w:eastAsia="Atkinson Hyperlegible" w:hAnsi="Atkinson Hyperlegible"/>
          <w:b w:val="false"/>
          <w:bCs w:val="false"/>
          <w:i w:val="false"/>
          <w:iCs w:val="false"/>
          <w:color w:val="2A2A2A"/>
          <w:sz w:val="21"/>
          <w:szCs w:val="21"/>
        </w:rPr>
        <w:t xml:space="preserve">Hoy, la aplicación se encuentra en proceso de validación, liderado por el Dr. Mario Salas, responsable de la Unidad de Deterioro Cognitivo del Hospital Clínico San Carlos de Madrid. MeetMJay se plantea desde un enfoque no clínico: no diagnostica ni sustituye el cuidado humano o la atención profesional, sino que se integra en la rutina como un apoyo diario, en casa, en residencias y en centros de día.</w:t>
      </w:r>
    </w:p>
    <w:p>
      <w:pPr>
        <w:keepNext/>
        <w:keepLines/>
        <w:spacing w:after="90" w:before="60" w:line="300"/>
        <w:jc w:val="left"/>
      </w:pPr>
      <w:r>
        <w:rPr>
          <w:rFonts w:ascii="Atkinson Hyperlegible" w:cs="Atkinson Hyperlegible" w:eastAsia="Atkinson Hyperlegible" w:hAnsi="Atkinson Hyperlegible"/>
          <w:b/>
          <w:bCs/>
          <w:i w:val="false"/>
          <w:iCs w:val="false"/>
          <w:color w:val="5D7B88"/>
          <w:sz w:val="23"/>
          <w:szCs w:val="23"/>
        </w:rPr>
        <w:t xml:space="preserve">Seguimiento del día a día, sin invadir</w:t>
      </w:r>
    </w:p>
    <w:p>
      <w:pPr>
        <w:keepLines/>
        <w:spacing w:after="220" w:before="0" w:line="300"/>
        <w:jc w:val="left"/>
      </w:pPr>
      <w:r>
        <w:rPr>
          <w:rFonts w:ascii="Atkinson Hyperlegible" w:cs="Atkinson Hyperlegible" w:eastAsia="Atkinson Hyperlegible" w:hAnsi="Atkinson Hyperlegible"/>
          <w:b w:val="false"/>
          <w:bCs w:val="false"/>
          <w:i w:val="false"/>
          <w:iCs w:val="false"/>
          <w:color w:val="2A2A2A"/>
          <w:sz w:val="21"/>
          <w:szCs w:val="21"/>
        </w:rPr>
        <w:t xml:space="preserve">El espacio «Mi día» ayuda a la persona a situarse: qué día es, qué toca hacer, quién viene de visita. Así no depende de preguntar constantemente ni de su memoria. Al mismo tiempo, la familia o el centro pueden seguir de forma discreta cómo se encuentra, sin que la aplicación se convierta en un sistema de vigilancia.</w:t>
      </w:r>
    </w:p>
    <w:p>
      <w:pPr>
        <w:keepNext/>
        <w:keepLines/>
        <w:spacing w:after="90" w:before="60" w:line="300"/>
        <w:jc w:val="left"/>
      </w:pPr>
      <w:r>
        <w:rPr>
          <w:rFonts w:ascii="Atkinson Hyperlegible" w:cs="Atkinson Hyperlegible" w:eastAsia="Atkinson Hyperlegible" w:hAnsi="Atkinson Hyperlegible"/>
          <w:b/>
          <w:bCs/>
          <w:i w:val="false"/>
          <w:iCs w:val="false"/>
          <w:color w:val="5D7B88"/>
          <w:sz w:val="23"/>
          <w:szCs w:val="23"/>
        </w:rPr>
        <w:t xml:space="preserve">Comunicación emocional y acompañamiento</w:t>
      </w:r>
    </w:p>
    <w:p>
      <w:pPr>
        <w:keepLines/>
        <w:spacing w:after="220" w:before="0" w:line="300"/>
        <w:jc w:val="left"/>
      </w:pPr>
      <w:r>
        <w:rPr>
          <w:rFonts w:ascii="Atkinson Hyperlegible" w:cs="Atkinson Hyperlegible" w:eastAsia="Atkinson Hyperlegible" w:hAnsi="Atkinson Hyperlegible"/>
          <w:b w:val="false"/>
          <w:bCs w:val="false"/>
          <w:i w:val="false"/>
          <w:iCs w:val="false"/>
          <w:color w:val="2A2A2A"/>
          <w:sz w:val="21"/>
          <w:szCs w:val="21"/>
        </w:rPr>
        <w:t xml:space="preserve">Con «Me siento» y «Necesito algo», la persona puede expresar una emoción o una necesidad básica con apoyos visuales, incluso cuando le cuesta encontrar las palabras. Si la familia lo activa, le acompaña MJay, un asistente conversacional que habla con calma, recuerda quién es la persona y guía sin imponer, con cinco voces a elegir. Y «Mi gente» ofrece un canal de contacto sencillo y supervisado con sus personas de referencia, para que la tecnología no sea una barrera entre ellos.</w:t>
      </w:r>
    </w:p>
    <w:p>
      <w:pPr>
        <w:keepNext/>
        <w:keepLines/>
        <w:spacing w:after="90" w:before="60" w:line="300"/>
        <w:jc w:val="left"/>
      </w:pPr>
      <w:r>
        <w:rPr>
          <w:rFonts w:ascii="Atkinson Hyperlegible" w:cs="Atkinson Hyperlegible" w:eastAsia="Atkinson Hyperlegible" w:hAnsi="Atkinson Hyperlegible"/>
          <w:b/>
          <w:bCs/>
          <w:i w:val="false"/>
          <w:iCs w:val="false"/>
          <w:color w:val="5D7B88"/>
          <w:sz w:val="23"/>
          <w:szCs w:val="23"/>
        </w:rPr>
        <w:t xml:space="preserve">Un entorno controlado y seguro</w:t>
      </w:r>
    </w:p>
    <w:p>
      <w:pPr>
        <w:keepLines/>
        <w:spacing w:after="220" w:before="0" w:line="300"/>
        <w:jc w:val="left"/>
      </w:pPr>
      <w:r>
        <w:rPr>
          <w:rFonts w:ascii="Atkinson Hyperlegible" w:cs="Atkinson Hyperlegible" w:eastAsia="Atkinson Hyperlegible" w:hAnsi="Atkinson Hyperlegible"/>
          <w:b w:val="false"/>
          <w:bCs w:val="false"/>
          <w:i w:val="false"/>
          <w:iCs w:val="false"/>
          <w:color w:val="2A2A2A"/>
          <w:sz w:val="21"/>
          <w:szCs w:val="21"/>
        </w:rPr>
        <w:t xml:space="preserve">A diferencia de un móvil o una tablet de uso general, MeetMJay funciona como un espacio cerrado: la familia o el centro configuran previamente los contactos, las actividades y los contenidos, sin acceso a internet abierto ni a redes sociales. La persona entra con un código QR y un PIN, sin correos ni contraseñas que recordar. La interfaz está pensada para reducir la carga cognitiva, con botones grandes, pocos elementos por pantalla, colores cálidos y alejados de la estética hospitalaria, y la tipografía Atkinson Hyperlegible, creada por el Braille Institute para personas con baja visión.</w:t>
      </w:r>
    </w:p>
    <w:p>
      <w:pPr>
        <w:keepNext/>
        <w:keepLines/>
        <w:spacing w:after="90" w:before="60" w:line="300"/>
        <w:jc w:val="left"/>
      </w:pPr>
      <w:r>
        <w:rPr>
          <w:rFonts w:ascii="Atkinson Hyperlegible" w:cs="Atkinson Hyperlegible" w:eastAsia="Atkinson Hyperlegible" w:hAnsi="Atkinson Hyperlegible"/>
          <w:b/>
          <w:bCs/>
          <w:i w:val="false"/>
          <w:iCs w:val="false"/>
          <w:color w:val="5D7B88"/>
          <w:sz w:val="23"/>
          <w:szCs w:val="23"/>
        </w:rPr>
        <w:t xml:space="preserve">Actividades que también son conversación</w:t>
      </w:r>
    </w:p>
    <w:p>
      <w:pPr>
        <w:keepLines/>
        <w:spacing w:after="260" w:before="0" w:line="300"/>
        <w:jc w:val="left"/>
      </w:pPr>
      <w:r>
        <w:rPr>
          <w:rFonts w:ascii="Atkinson Hyperlegible" w:cs="Atkinson Hyperlegible" w:eastAsia="Atkinson Hyperlegible" w:hAnsi="Atkinson Hyperlegible"/>
          <w:b w:val="false"/>
          <w:bCs w:val="false"/>
          <w:i w:val="false"/>
          <w:iCs w:val="false"/>
          <w:color w:val="2A2A2A"/>
          <w:sz w:val="21"/>
          <w:szCs w:val="21"/>
        </w:rPr>
        <w:t xml:space="preserve">El espacio «Actividades» propone preguntas de cultura, historia, deporte, geografía o gastronomía, y la familia puede sumar otras propias sobre personas, lugares y recuerdos importantes. En «Mis canales», los familiares seleccionan contenidos que dan pie a conversaciones y recuerdos en común. La aplicación está disponible en castellano, catalán, gallego, euskera, inglés y francés.</w:t>
      </w:r>
    </w:p>
    <w:p>
      <w:pPr>
        <w:keepNext/>
        <w:keepLines/>
        <w:pBdr>
          <w:left w:val="single" w:color="EA7E71" w:sz="18" w:space="12"/>
        </w:pBdr>
        <w:spacing w:after="100"/>
        <w:ind w:left="260"/>
      </w:pPr>
      <w:r>
        <w:rPr>
          <w:rFonts w:ascii="Atkinson Hyperlegible" w:cs="Atkinson Hyperlegible" w:eastAsia="Atkinson Hyperlegible" w:hAnsi="Atkinson Hyperlegible"/>
          <w:b w:val="false"/>
          <w:bCs w:val="false"/>
          <w:i/>
          <w:iCs/>
          <w:color w:val="2A2A2A"/>
          <w:sz w:val="22"/>
          <w:szCs w:val="22"/>
        </w:rPr>
        <w:t xml:space="preserve">“Hablar de salud mental también es hablar de quienes viven con deterioro cognitivo y de quienes les cuidan. Diseñamos MeetMJay pensando primero en la persona y solo después en la tecnología: queríamos algo que ayudase a mi propia familia, sin infantilizar y sin convertir el cuidado en una experiencia fría o clínica.”</w:t>
      </w:r>
    </w:p>
    <w:p>
      <w:pPr>
        <w:keepLines/>
        <w:spacing w:after="280" w:before="0" w:line="300"/>
        <w:ind w:left="540"/>
        <w:jc w:val="left"/>
      </w:pPr>
      <w:r>
        <w:rPr>
          <w:rFonts w:ascii="Atkinson Hyperlegible" w:cs="Atkinson Hyperlegible" w:eastAsia="Atkinson Hyperlegible" w:hAnsi="Atkinson Hyperlegible"/>
          <w:b w:val="false"/>
          <w:bCs w:val="false"/>
          <w:i/>
          <w:iCs/>
          <w:color w:val="666666"/>
          <w:sz w:val="20"/>
          <w:szCs w:val="20"/>
        </w:rPr>
        <w:t xml:space="preserve">Iñaki Nieto, fundador de MeetMJay</w:t>
      </w:r>
    </w:p>
    <w:p>
      <w:pPr>
        <w:keepNext/>
        <w:keepLines/>
        <w:spacing w:after="90" w:before="60" w:line="300"/>
        <w:jc w:val="left"/>
      </w:pPr>
      <w:r>
        <w:rPr>
          <w:rFonts w:ascii="Atkinson Hyperlegible" w:cs="Atkinson Hyperlegible" w:eastAsia="Atkinson Hyperlegible" w:hAnsi="Atkinson Hyperlegible"/>
          <w:b/>
          <w:bCs/>
          <w:i w:val="false"/>
          <w:iCs w:val="false"/>
          <w:color w:val="5D7B88"/>
          <w:sz w:val="23"/>
          <w:szCs w:val="23"/>
        </w:rPr>
        <w:t xml:space="preserve">Disponibilidad</w:t>
      </w:r>
    </w:p>
    <w:p>
      <w:pPr>
        <w:keepLines/>
        <w:spacing w:after="260" w:before="0" w:line="300"/>
        <w:jc w:val="left"/>
      </w:pPr>
      <w:r>
        <w:rPr>
          <w:rFonts w:ascii="Atkinson Hyperlegible" w:cs="Atkinson Hyperlegible" w:eastAsia="Atkinson Hyperlegible" w:hAnsi="Atkinson Hyperlegible"/>
          <w:b w:val="false"/>
          <w:bCs w:val="false"/>
          <w:i w:val="false"/>
          <w:iCs w:val="false"/>
          <w:color w:val="2A2A2A"/>
          <w:sz w:val="21"/>
          <w:szCs w:val="21"/>
        </w:rPr>
        <w:t xml:space="preserve">Las familias interesadas ya pueden solicitar una prueba gratuita de MeetMJay en meetmjay.com. Residencias, centros de día e instituciones interesados en incorporarla como herramienta de apoyo pueden solicitar información en meetmjay.com.</w:t>
      </w:r>
    </w:p>
    <w:p>
      <w:pPr>
        <w:keepNext/>
        <w:keepLines/>
        <w:spacing w:after="90" w:before="60" w:line="300"/>
        <w:jc w:val="left"/>
      </w:pPr>
      <w:r>
        <w:rPr>
          <w:rFonts w:ascii="Atkinson Hyperlegible" w:cs="Atkinson Hyperlegible" w:eastAsia="Atkinson Hyperlegible" w:hAnsi="Atkinson Hyperlegible"/>
          <w:b/>
          <w:bCs/>
          <w:i w:val="false"/>
          <w:iCs w:val="false"/>
          <w:color w:val="5D7B88"/>
          <w:sz w:val="23"/>
          <w:szCs w:val="23"/>
        </w:rPr>
        <w:t xml:space="preserve">Sobre MeetMJay</w:t>
      </w:r>
    </w:p>
    <w:p>
      <w:pPr>
        <w:keepLines/>
        <w:spacing w:after="260" w:before="0" w:line="300"/>
        <w:jc w:val="left"/>
      </w:pPr>
      <w:r>
        <w:rPr>
          <w:rFonts w:ascii="Atkinson Hyperlegible" w:cs="Atkinson Hyperlegible" w:eastAsia="Atkinson Hyperlegible" w:hAnsi="Atkinson Hyperlegible"/>
          <w:b w:val="false"/>
          <w:bCs w:val="false"/>
          <w:i w:val="false"/>
          <w:iCs w:val="false"/>
          <w:color w:val="2A2A2A"/>
          <w:sz w:val="21"/>
          <w:szCs w:val="21"/>
        </w:rPr>
        <w:t xml:space="preserve">MeetMJay es una aplicación española de acompañamiento emocional para personas con deterioro cognitivo leve o moderado. Su objetivo es fortalecer el vínculo familiar y favorecer la autonomía en el día a día desde un enfoque no clínico, con una interfaz accesible que simplifica sin infantilizar. Más información en meetmjay.com.</w:t>
      </w:r>
    </w:p>
    <w:p>
      <w:pPr>
        <w:keepNext/>
        <w:keepLines/>
        <w:pBdr>
          <w:top w:val="single" w:color="F4EEE2" w:sz="6" w:space="6"/>
        </w:pBdr>
        <w:shd w:fill="F4EEE2" w:color="auto" w:val="clear"/>
        <w:spacing w:after="80" w:before="60"/>
      </w:pPr>
      <w:r>
        <w:rPr>
          <w:rFonts w:ascii="Atkinson Hyperlegible" w:cs="Atkinson Hyperlegible" w:eastAsia="Atkinson Hyperlegible" w:hAnsi="Atkinson Hyperlegible"/>
          <w:b/>
          <w:bCs/>
          <w:i w:val="false"/>
          <w:iCs w:val="false"/>
          <w:color w:val="5D7B88"/>
          <w:sz w:val="21"/>
          <w:szCs w:val="21"/>
        </w:rPr>
        <w:t xml:space="preserve">Recursos para medios</w:t>
      </w:r>
    </w:p>
    <w:p>
      <w:pPr>
        <w:keepNext/>
        <w:keepLines/>
        <w:shd w:fill="F4EEE2" w:color="auto" w:val="clear"/>
        <w:spacing w:after="60" w:before="0"/>
      </w:pPr>
      <w:r>
        <w:rPr>
          <w:rFonts w:ascii="Atkinson Hyperlegible" w:cs="Atkinson Hyperlegible" w:eastAsia="Atkinson Hyperlegible" w:hAnsi="Atkinson Hyperlegible"/>
          <w:b/>
          <w:bCs/>
          <w:i w:val="false"/>
          <w:iCs w:val="false"/>
          <w:color w:val="2A2A2A"/>
          <w:sz w:val="20"/>
          <w:szCs w:val="20"/>
        </w:rPr>
        <w:t xml:space="preserve">Entrevistas: </w:t>
      </w:r>
      <w:r>
        <w:rPr>
          <w:rFonts w:ascii="Atkinson Hyperlegible" w:cs="Atkinson Hyperlegible" w:eastAsia="Atkinson Hyperlegible" w:hAnsi="Atkinson Hyperlegible"/>
          <w:b w:val="false"/>
          <w:bCs w:val="false"/>
          <w:i w:val="false"/>
          <w:iCs w:val="false"/>
          <w:color w:val="2A2A2A"/>
          <w:sz w:val="20"/>
          <w:szCs w:val="20"/>
        </w:rPr>
        <w:t xml:space="preserve">Iñaki Nieto, fundador, disponible para entrevistas en torno al Día Mundial de la Salud Mental.</w:t>
      </w:r>
    </w:p>
    <w:p>
      <w:pPr>
        <w:keepNext/>
        <w:keepLines/>
        <w:shd w:fill="F4EEE2" w:color="auto" w:val="clear"/>
        <w:spacing w:after="60" w:before="0"/>
      </w:pPr>
      <w:r>
        <w:rPr>
          <w:rFonts w:ascii="Atkinson Hyperlegible" w:cs="Atkinson Hyperlegible" w:eastAsia="Atkinson Hyperlegible" w:hAnsi="Atkinson Hyperlegible"/>
          <w:b/>
          <w:bCs/>
          <w:i w:val="false"/>
          <w:iCs w:val="false"/>
          <w:color w:val="2A2A2A"/>
          <w:sz w:val="20"/>
          <w:szCs w:val="20"/>
        </w:rPr>
        <w:t xml:space="preserve">Acceso gratuito para periodistas: </w:t>
      </w:r>
      <w:r>
        <w:rPr>
          <w:rFonts w:ascii="Atkinson Hyperlegible" w:cs="Atkinson Hyperlegible" w:eastAsia="Atkinson Hyperlegible" w:hAnsi="Atkinson Hyperlegible"/>
          <w:b w:val="false"/>
          <w:bCs w:val="false"/>
          <w:i w:val="false"/>
          <w:iCs w:val="false"/>
          <w:color w:val="2A2A2A"/>
          <w:sz w:val="20"/>
          <w:szCs w:val="20"/>
        </w:rPr>
        <w:t xml:space="preserve">código para probar la app completa, sin coste. Solicítalo en info@meetmjay.com.</w:t>
      </w:r>
    </w:p>
    <w:p>
      <w:pPr>
        <w:keepNext/>
        <w:keepLines/>
        <w:shd w:fill="F4EEE2" w:color="auto" w:val="clear"/>
        <w:spacing w:after="60" w:before="0"/>
      </w:pPr>
      <w:r>
        <w:rPr>
          <w:rFonts w:ascii="Atkinson Hyperlegible" w:cs="Atkinson Hyperlegible" w:eastAsia="Atkinson Hyperlegible" w:hAnsi="Atkinson Hyperlegible"/>
          <w:b/>
          <w:bCs/>
          <w:i w:val="false"/>
          <w:iCs w:val="false"/>
          <w:color w:val="2A2A2A"/>
          <w:sz w:val="20"/>
          <w:szCs w:val="20"/>
        </w:rPr>
        <w:t xml:space="preserve">Sala de prensa: </w:t>
      </w:r>
      <w:hyperlink w:history="1" r:id="rIdkmvfow6wbgq62onryc841">
        <w:r>
          <w:rPr>
            <w:rFonts w:ascii="Atkinson Hyperlegible" w:cs="Atkinson Hyperlegible" w:eastAsia="Atkinson Hyperlegible" w:hAnsi="Atkinson Hyperlegible"/>
            <w:b/>
            <w:bCs/>
            <w:color w:val="C2574B"/>
            <w:sz w:val="20"/>
            <w:szCs w:val="20"/>
            <w:u w:val="single"/>
          </w:rPr>
          <w:t xml:space="preserve">meetmjay.com/prensa</w:t>
        </w:r>
      </w:hyperlink>
      <w:r>
        <w:rPr>
          <w:rFonts w:ascii="Atkinson Hyperlegible" w:cs="Atkinson Hyperlegible" w:eastAsia="Atkinson Hyperlegible" w:hAnsi="Atkinson Hyperlegible"/>
          <w:b w:val="false"/>
          <w:bCs w:val="false"/>
          <w:i w:val="false"/>
          <w:iCs w:val="false"/>
          <w:color w:val="2A2A2A"/>
          <w:sz w:val="20"/>
          <w:szCs w:val="20"/>
        </w:rPr>
        <w:t xml:space="preserve"> · nota en PDF y Word, ficha en datos, bios, preguntas y respuestas, logotipos e imágenes.</w:t>
      </w:r>
    </w:p>
    <w:p>
      <w:pPr>
        <w:keepNext w:val="false"/>
        <w:keepLines/>
        <w:pBdr>
          <w:bottom w:val="single" w:color="F4EEE2" w:sz="6" w:space="6"/>
        </w:pBdr>
        <w:shd w:fill="F4EEE2" w:color="auto" w:val="clear"/>
        <w:spacing w:after="200" w:before="0"/>
      </w:pPr>
      <w:r>
        <w:rPr>
          <w:rFonts w:ascii="Atkinson Hyperlegible" w:cs="Atkinson Hyperlegible" w:eastAsia="Atkinson Hyperlegible" w:hAnsi="Atkinson Hyperlegible"/>
          <w:b/>
          <w:bCs/>
          <w:i w:val="false"/>
          <w:iCs w:val="false"/>
          <w:color w:val="2A2A2A"/>
          <w:sz w:val="20"/>
          <w:szCs w:val="20"/>
        </w:rPr>
        <w:t xml:space="preserve">Contacto de prensa: </w:t>
      </w:r>
      <w:r>
        <w:rPr>
          <w:rFonts w:ascii="Atkinson Hyperlegible" w:cs="Atkinson Hyperlegible" w:eastAsia="Atkinson Hyperlegible" w:hAnsi="Atkinson Hyperlegible"/>
          <w:b w:val="false"/>
          <w:bCs w:val="false"/>
          <w:i w:val="false"/>
          <w:iCs w:val="false"/>
          <w:color w:val="2A2A2A"/>
          <w:sz w:val="20"/>
          <w:szCs w:val="20"/>
        </w:rPr>
        <w:t xml:space="preserve">Iñaki Nieto · info@meetmjay.com · 605 98 28 30 · meetmjay.com</w:t>
      </w:r>
    </w:p>
    <w:p>
      <w:pPr>
        <w:keepLines/>
        <w:spacing w:after="0" w:before="0" w:line="300"/>
        <w:jc w:val="left"/>
      </w:pPr>
      <w:r>
        <w:rPr>
          <w:rFonts w:ascii="Atkinson Hyperlegible" w:cs="Atkinson Hyperlegible" w:eastAsia="Atkinson Hyperlegible" w:hAnsi="Atkinson Hyperlegible"/>
          <w:b w:val="false"/>
          <w:bCs w:val="false"/>
          <w:i/>
          <w:iCs/>
          <w:color w:val="666666"/>
          <w:sz w:val="16"/>
          <w:szCs w:val="16"/>
        </w:rPr>
        <w:t xml:space="preserve">Fuentes de los datos: Sociedad Española de Neurología (SEN); Fundación de Ciencias de la Salud, «Deterioro cognitivo y demencia en mayores: situación en España» (2025).</w:t>
      </w:r>
    </w:p>
    <w:sectPr>
      <w:footerReference w:type="default" r:id="rId7"/>
      <w:pgSz w:w="11906" w:h="16838" w:orient="portrait"/>
      <w:pgMar w:top="85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keepLines/>
      <w:spacing w:after="0" w:before="0" w:line="300"/>
      <w:jc w:val="center"/>
    </w:pPr>
    <w:r>
      <w:rPr>
        <w:rFonts w:ascii="Atkinson Hyperlegible" w:cs="Atkinson Hyperlegible" w:eastAsia="Atkinson Hyperlegible" w:hAnsi="Atkinson Hyperlegible"/>
        <w:b w:val="false"/>
        <w:bCs w:val="false"/>
        <w:i w:val="false"/>
        <w:iCs w:val="false"/>
        <w:color w:val="666666"/>
        <w:sz w:val="16"/>
        <w:szCs w:val="16"/>
      </w:rPr>
      <w:t xml:space="preserve">MeetMJay · meetmjay.com · info@meetmjay.com · 605 98 28 30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mvfow6wbgq62onryc841" Type="http://schemas.openxmlformats.org/officeDocument/2006/relationships/hyperlink" Target="https://meetmjay.com/prensa/?utm_source=nota_pdf&amp;utm_medium=pdf&amp;utm_campaign=salud_mental_2026" TargetMode="External"/><Relationship Id="rId8" Type="http://schemas.openxmlformats.org/officeDocument/2006/relationships/image" Target="media/dd9b58be815a9e989c8412715fd6b170a23c0ce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2026-10-08T13:35:53.869Z</dcterms:created>
  <dcterms:modified xsi:type="dcterms:W3CDTF">2026-10-08T13:35:53.879Z</dcterms:modified>
</cp:coreProperties>
</file>

<file path=docProps/custom.xml><?xml version="1.0" encoding="utf-8"?>
<Properties xmlns="http://schemas.openxmlformats.org/officeDocument/2006/custom-properties" xmlns:vt="http://schemas.openxmlformats.org/officeDocument/2006/docPropsVTypes"/>
</file>